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2"/>
        <w:tblW w:w="7215"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55"/>
        <w:gridCol w:w="6960"/>
      </w:tblGrid>
      <w:tr w:rsidR="00D67B83" w:rsidTr="00681374">
        <w:trPr>
          <w:trHeight w:val="337"/>
        </w:trPr>
        <w:tc>
          <w:tcPr>
            <w:tcW w:w="255" w:type="dxa"/>
            <w:shd w:val="clear" w:color="auto" w:fill="auto"/>
            <w:tcMar>
              <w:top w:w="100" w:type="dxa"/>
              <w:left w:w="100" w:type="dxa"/>
              <w:bottom w:w="100" w:type="dxa"/>
              <w:right w:w="100" w:type="dxa"/>
            </w:tcMar>
          </w:tcPr>
          <w:p w:rsidR="00D67B83" w:rsidRDefault="00D67B83" w:rsidP="006D048B">
            <w:pPr>
              <w:rPr>
                <w:rFonts w:ascii="Montserrat" w:eastAsia="Montserrat" w:hAnsi="Montserrat" w:cs="Montserrat"/>
              </w:rPr>
            </w:pPr>
          </w:p>
        </w:tc>
        <w:tc>
          <w:tcPr>
            <w:tcW w:w="6960" w:type="dxa"/>
            <w:shd w:val="clear" w:color="auto" w:fill="auto"/>
            <w:tcMar>
              <w:top w:w="100" w:type="dxa"/>
              <w:left w:w="100" w:type="dxa"/>
              <w:bottom w:w="100" w:type="dxa"/>
              <w:right w:w="100" w:type="dxa"/>
            </w:tcMar>
          </w:tcPr>
          <w:p w:rsidR="00D67B83" w:rsidRDefault="00D67B83" w:rsidP="00D67B83">
            <w:pPr>
              <w:widowControl w:val="0"/>
              <w:pBdr>
                <w:top w:val="nil"/>
                <w:left w:val="nil"/>
                <w:bottom w:val="nil"/>
                <w:right w:val="nil"/>
                <w:between w:val="nil"/>
              </w:pBdr>
              <w:spacing w:after="0" w:line="276" w:lineRule="auto"/>
              <w:ind w:left="709" w:right="-7"/>
              <w:rPr>
                <w:rFonts w:ascii="Montserrat" w:eastAsia="Montserrat" w:hAnsi="Montserrat" w:cs="Montserrat"/>
              </w:rPr>
            </w:pPr>
          </w:p>
        </w:tc>
      </w:tr>
    </w:tbl>
    <w:p w:rsidR="006F6527" w:rsidRDefault="004730B9">
      <w:pPr>
        <w:pStyle w:val="Subttulo"/>
        <w:spacing w:before="0" w:after="160"/>
        <w:rPr>
          <w:rFonts w:ascii="Josefin Sans" w:eastAsia="Josefin Sans" w:hAnsi="Josefin Sans" w:cs="Josefin Sans"/>
          <w:b/>
          <w:i w:val="0"/>
          <w:color w:val="202124"/>
          <w:sz w:val="34"/>
          <w:szCs w:val="34"/>
        </w:rPr>
      </w:pPr>
      <w:bookmarkStart w:id="0" w:name="_heading=h.x9rs0ylyiqiv" w:colFirst="0" w:colLast="0"/>
      <w:bookmarkStart w:id="1" w:name="_heading=h.cyimshon2gub" w:colFirst="0" w:colLast="0"/>
      <w:bookmarkEnd w:id="0"/>
      <w:bookmarkEnd w:id="1"/>
      <w:r>
        <w:rPr>
          <w:rFonts w:ascii="Josefin Sans" w:eastAsia="Josefin Sans" w:hAnsi="Josefin Sans" w:cs="Josefin Sans"/>
          <w:b/>
          <w:i w:val="0"/>
          <w:color w:val="202124"/>
          <w:sz w:val="34"/>
          <w:szCs w:val="34"/>
        </w:rPr>
        <w:t>Nombre del caso</w:t>
      </w:r>
    </w:p>
    <w:p w:rsidR="006F6527" w:rsidRDefault="004730B9">
      <w:pPr>
        <w:shd w:val="clear" w:color="auto" w:fill="FFFFFF"/>
        <w:spacing w:after="240" w:line="360" w:lineRule="auto"/>
        <w:jc w:val="both"/>
      </w:pPr>
      <w:r>
        <w:rPr>
          <w:color w:val="000000"/>
          <w:sz w:val="20"/>
          <w:szCs w:val="20"/>
        </w:rPr>
        <w:t>(Para comenzar, piensa en un título con palabras claves que representen el caso de tu institución)</w:t>
      </w:r>
    </w:p>
    <w:tbl>
      <w:tblPr>
        <w:tblStyle w:val="affff5"/>
        <w:tblW w:w="92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7"/>
      </w:tblGrid>
      <w:tr w:rsidR="006F6527">
        <w:trPr>
          <w:trHeight w:val="1863"/>
        </w:trPr>
        <w:tc>
          <w:tcPr>
            <w:tcW w:w="9207" w:type="dxa"/>
            <w:shd w:val="clear" w:color="auto" w:fill="auto"/>
            <w:tcMar>
              <w:top w:w="100" w:type="dxa"/>
              <w:left w:w="100" w:type="dxa"/>
              <w:bottom w:w="100" w:type="dxa"/>
              <w:right w:w="100" w:type="dxa"/>
            </w:tcMar>
          </w:tcPr>
          <w:p w:rsidR="006F6527" w:rsidRDefault="00786D79" w:rsidP="00D74389">
            <w:pPr>
              <w:widowControl w:val="0"/>
              <w:pBdr>
                <w:top w:val="nil"/>
                <w:left w:val="nil"/>
                <w:bottom w:val="nil"/>
                <w:right w:val="nil"/>
                <w:between w:val="nil"/>
              </w:pBdr>
              <w:spacing w:after="0" w:line="240" w:lineRule="auto"/>
            </w:pPr>
            <w:r>
              <w:t xml:space="preserve">Reporte de cumplimiento </w:t>
            </w:r>
            <w:r w:rsidR="00D3044A">
              <w:t xml:space="preserve">en línea </w:t>
            </w:r>
            <w:r w:rsidR="00D74389">
              <w:t xml:space="preserve">de resoluciones </w:t>
            </w:r>
            <w:r w:rsidR="00D3044A">
              <w:t xml:space="preserve">de reclamos </w:t>
            </w:r>
            <w:r w:rsidR="00772702">
              <w:t>de</w:t>
            </w:r>
            <w:r w:rsidR="00D3044A">
              <w:t xml:space="preserve"> seguridad social</w:t>
            </w:r>
          </w:p>
        </w:tc>
      </w:tr>
    </w:tbl>
    <w:p w:rsidR="006F6527" w:rsidRDefault="006F6527"/>
    <w:p w:rsidR="006F6527" w:rsidRDefault="004730B9">
      <w:pPr>
        <w:pStyle w:val="Subttulo"/>
        <w:spacing w:before="0" w:after="160"/>
      </w:pPr>
      <w:bookmarkStart w:id="2" w:name="_heading=h.rtjh8n38kow9" w:colFirst="0" w:colLast="0"/>
      <w:bookmarkEnd w:id="2"/>
      <w:r>
        <w:rPr>
          <w:rFonts w:ascii="Josefin Sans" w:eastAsia="Josefin Sans" w:hAnsi="Josefin Sans" w:cs="Josefin Sans"/>
          <w:b/>
          <w:i w:val="0"/>
          <w:color w:val="202124"/>
          <w:sz w:val="34"/>
          <w:szCs w:val="34"/>
        </w:rPr>
        <w:t>Nombre y apellido del Coordinador o Coordinadora de Transformación Digital</w:t>
      </w:r>
    </w:p>
    <w:tbl>
      <w:tblPr>
        <w:tblStyle w:val="affff6"/>
        <w:tblW w:w="92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7"/>
      </w:tblGrid>
      <w:tr w:rsidR="006F6527">
        <w:trPr>
          <w:trHeight w:val="1863"/>
        </w:trPr>
        <w:tc>
          <w:tcPr>
            <w:tcW w:w="9207" w:type="dxa"/>
            <w:shd w:val="clear" w:color="auto" w:fill="auto"/>
            <w:tcMar>
              <w:top w:w="100" w:type="dxa"/>
              <w:left w:w="100" w:type="dxa"/>
              <w:bottom w:w="100" w:type="dxa"/>
              <w:right w:w="100" w:type="dxa"/>
            </w:tcMar>
          </w:tcPr>
          <w:p w:rsidR="006F6527" w:rsidRDefault="00786D79">
            <w:pPr>
              <w:widowControl w:val="0"/>
              <w:spacing w:after="0" w:line="240" w:lineRule="auto"/>
            </w:pPr>
            <w:r>
              <w:t>Luis Baez Arribada</w:t>
            </w:r>
          </w:p>
        </w:tc>
      </w:tr>
    </w:tbl>
    <w:p w:rsidR="006F6527" w:rsidRDefault="006F6527"/>
    <w:p w:rsidR="006F6527" w:rsidRDefault="004730B9">
      <w:pPr>
        <w:pStyle w:val="Subttulo"/>
        <w:spacing w:before="0" w:after="160"/>
      </w:pPr>
      <w:bookmarkStart w:id="3" w:name="_heading=h.38e90q1a4f7t" w:colFirst="0" w:colLast="0"/>
      <w:bookmarkEnd w:id="3"/>
      <w:r>
        <w:rPr>
          <w:rFonts w:ascii="Josefin Sans" w:eastAsia="Josefin Sans" w:hAnsi="Josefin Sans" w:cs="Josefin Sans"/>
          <w:b/>
          <w:i w:val="0"/>
          <w:color w:val="202124"/>
          <w:sz w:val="34"/>
          <w:szCs w:val="34"/>
        </w:rPr>
        <w:t>¿Cuál es tu institución?</w:t>
      </w:r>
    </w:p>
    <w:tbl>
      <w:tblPr>
        <w:tblStyle w:val="affff7"/>
        <w:tblW w:w="92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7"/>
      </w:tblGrid>
      <w:tr w:rsidR="006F6527">
        <w:trPr>
          <w:trHeight w:val="1863"/>
        </w:trPr>
        <w:tc>
          <w:tcPr>
            <w:tcW w:w="9207" w:type="dxa"/>
            <w:shd w:val="clear" w:color="auto" w:fill="auto"/>
            <w:tcMar>
              <w:top w:w="100" w:type="dxa"/>
              <w:left w:w="100" w:type="dxa"/>
              <w:bottom w:w="100" w:type="dxa"/>
              <w:right w:w="100" w:type="dxa"/>
            </w:tcMar>
          </w:tcPr>
          <w:p w:rsidR="006F6527" w:rsidRDefault="00786D79">
            <w:pPr>
              <w:widowControl w:val="0"/>
              <w:spacing w:after="0" w:line="240" w:lineRule="auto"/>
            </w:pPr>
            <w:r>
              <w:t>Superintendencia de Seguridad Social</w:t>
            </w:r>
          </w:p>
        </w:tc>
      </w:tr>
    </w:tbl>
    <w:p w:rsidR="006F6527" w:rsidRDefault="006F6527">
      <w:pPr>
        <w:pStyle w:val="Subttulo"/>
        <w:spacing w:before="0" w:after="160"/>
        <w:rPr>
          <w:rFonts w:ascii="Josefin Sans" w:eastAsia="Josefin Sans" w:hAnsi="Josefin Sans" w:cs="Josefin Sans"/>
          <w:b/>
          <w:i w:val="0"/>
          <w:color w:val="202124"/>
          <w:sz w:val="34"/>
          <w:szCs w:val="34"/>
        </w:rPr>
      </w:pPr>
      <w:bookmarkStart w:id="4" w:name="_heading=h.1m5ollmzvpfx" w:colFirst="0" w:colLast="0"/>
      <w:bookmarkStart w:id="5" w:name="_heading=h.f7tm2tb81xhz" w:colFirst="0" w:colLast="0"/>
      <w:bookmarkStart w:id="6" w:name="_heading=h.9c4batsnoz7b" w:colFirst="0" w:colLast="0"/>
      <w:bookmarkEnd w:id="4"/>
      <w:bookmarkEnd w:id="5"/>
      <w:bookmarkEnd w:id="6"/>
    </w:p>
    <w:p w:rsidR="006F6527" w:rsidRDefault="004730B9">
      <w:pPr>
        <w:pStyle w:val="Subttulo"/>
        <w:spacing w:before="0" w:after="160"/>
        <w:rPr>
          <w:rFonts w:ascii="Josefin Sans" w:eastAsia="Josefin Sans" w:hAnsi="Josefin Sans" w:cs="Josefin Sans"/>
          <w:b/>
          <w:i w:val="0"/>
          <w:color w:val="202124"/>
          <w:sz w:val="34"/>
          <w:szCs w:val="34"/>
        </w:rPr>
      </w:pPr>
      <w:bookmarkStart w:id="7" w:name="_heading=h.bn2ubctv8qig" w:colFirst="0" w:colLast="0"/>
      <w:bookmarkEnd w:id="7"/>
      <w:r>
        <w:rPr>
          <w:rFonts w:ascii="Josefin Sans" w:eastAsia="Josefin Sans" w:hAnsi="Josefin Sans" w:cs="Josefin Sans"/>
          <w:b/>
          <w:i w:val="0"/>
          <w:color w:val="202124"/>
          <w:sz w:val="34"/>
          <w:szCs w:val="34"/>
        </w:rPr>
        <w:t>Descripción de tu caso o experiencia</w:t>
      </w:r>
    </w:p>
    <w:p w:rsidR="006F6527" w:rsidRDefault="004730B9">
      <w:pPr>
        <w:shd w:val="clear" w:color="auto" w:fill="FFFFFF"/>
        <w:spacing w:before="220" w:after="220" w:line="360" w:lineRule="auto"/>
        <w:jc w:val="both"/>
        <w:rPr>
          <w:color w:val="000000"/>
          <w:sz w:val="20"/>
          <w:szCs w:val="20"/>
        </w:rPr>
      </w:pPr>
      <w:bookmarkStart w:id="8" w:name="_Hlk124513661"/>
      <w:r>
        <w:rPr>
          <w:color w:val="000000"/>
          <w:sz w:val="20"/>
          <w:szCs w:val="20"/>
        </w:rPr>
        <w:t xml:space="preserve">1) Resumen (pitch). </w:t>
      </w:r>
    </w:p>
    <w:p w:rsidR="006F6527" w:rsidRDefault="004730B9">
      <w:pPr>
        <w:shd w:val="clear" w:color="auto" w:fill="FFFFFF"/>
        <w:spacing w:after="240" w:line="360" w:lineRule="auto"/>
        <w:jc w:val="both"/>
        <w:rPr>
          <w:color w:val="000000"/>
          <w:sz w:val="22"/>
          <w:szCs w:val="22"/>
        </w:rPr>
      </w:pPr>
      <w:bookmarkStart w:id="9" w:name="_Hlk124513637"/>
      <w:r>
        <w:rPr>
          <w:color w:val="000000"/>
          <w:sz w:val="20"/>
          <w:szCs w:val="20"/>
        </w:rPr>
        <w:t xml:space="preserve">Empieza con algunos datos o información crucial, por ejemplo: ¿cuál era el problema? ¿a quiénes afectaba? ¿Cuál fue el factor clave para enfrentar el problema? ¿Cuál fue el mayor logro alcanzado en el camino? </w:t>
      </w:r>
    </w:p>
    <w:tbl>
      <w:tblPr>
        <w:tblStyle w:val="affff8"/>
        <w:tblW w:w="92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7"/>
      </w:tblGrid>
      <w:tr w:rsidR="006F6527">
        <w:trPr>
          <w:trHeight w:val="1863"/>
        </w:trPr>
        <w:tc>
          <w:tcPr>
            <w:tcW w:w="9207" w:type="dxa"/>
            <w:shd w:val="clear" w:color="auto" w:fill="auto"/>
            <w:tcMar>
              <w:top w:w="100" w:type="dxa"/>
              <w:left w:w="100" w:type="dxa"/>
              <w:bottom w:w="100" w:type="dxa"/>
              <w:right w:w="100" w:type="dxa"/>
            </w:tcMar>
          </w:tcPr>
          <w:bookmarkEnd w:id="8"/>
          <w:bookmarkEnd w:id="9"/>
          <w:p w:rsidR="00D74389" w:rsidRDefault="00D74389" w:rsidP="00D74389">
            <w:pPr>
              <w:widowControl w:val="0"/>
              <w:spacing w:after="0" w:line="240" w:lineRule="auto"/>
              <w:jc w:val="both"/>
              <w:rPr>
                <w:rFonts w:ascii="Georgia" w:eastAsia="Georgia" w:hAnsi="Georgia" w:cs="Georgia"/>
              </w:rPr>
            </w:pPr>
            <w:r w:rsidRPr="00D74389">
              <w:rPr>
                <w:rFonts w:ascii="Georgia" w:eastAsia="Georgia" w:hAnsi="Georgia" w:cs="Georgia"/>
              </w:rPr>
              <w:lastRenderedPageBreak/>
              <w:t>La Superintendencia de Seguridad Social implementó un modelo por medio del cual las entidades administradoras de los regímenes de seguridad social que fiscaliza deben reportar en forma electrónica e integrada, el cumplimiento de las resoluciones respecto de un reclamo del que son parte.</w:t>
            </w:r>
          </w:p>
          <w:p w:rsidR="00D74389" w:rsidRPr="00D74389" w:rsidRDefault="00D74389" w:rsidP="00D74389">
            <w:pPr>
              <w:widowControl w:val="0"/>
              <w:spacing w:after="0" w:line="240" w:lineRule="auto"/>
              <w:jc w:val="both"/>
              <w:rPr>
                <w:rFonts w:ascii="Georgia" w:eastAsia="Georgia" w:hAnsi="Georgia" w:cs="Georgia"/>
              </w:rPr>
            </w:pPr>
          </w:p>
          <w:p w:rsidR="00D74389" w:rsidRDefault="00D74389" w:rsidP="00D74389">
            <w:pPr>
              <w:widowControl w:val="0"/>
              <w:spacing w:after="0" w:line="240" w:lineRule="auto"/>
              <w:jc w:val="both"/>
              <w:rPr>
                <w:rFonts w:ascii="Georgia" w:eastAsia="Georgia" w:hAnsi="Georgia" w:cs="Georgia"/>
              </w:rPr>
            </w:pPr>
            <w:r w:rsidRPr="00D74389">
              <w:rPr>
                <w:rFonts w:ascii="Georgia" w:eastAsia="Georgia" w:hAnsi="Georgia" w:cs="Georgia"/>
              </w:rPr>
              <w:t xml:space="preserve">Por medio de este nuevo mecanismo, toda entidad destinataria de una Resolución que resuelve un reclamo presentado ante la Superintendencia, debe informar, de manera proactiva y ajustado a plazos establecidos, el estado de cumplimiento de una instrucción o resolución impartida por medio del procedimiento administrativo electrónico, proceso que se denomina reporte de cumplimiento. Este modelo de reporte de cumplimiento es efectuado directamente en  la plataforma, en línea,  y es  transaccional, es decir, se vincula a cada caso.  </w:t>
            </w:r>
          </w:p>
          <w:p w:rsidR="00D74389" w:rsidRPr="00D74389" w:rsidRDefault="00D74389" w:rsidP="00D74389">
            <w:pPr>
              <w:widowControl w:val="0"/>
              <w:spacing w:after="0" w:line="240" w:lineRule="auto"/>
              <w:jc w:val="both"/>
              <w:rPr>
                <w:rFonts w:ascii="Georgia" w:eastAsia="Georgia" w:hAnsi="Georgia" w:cs="Georgia"/>
              </w:rPr>
            </w:pPr>
          </w:p>
          <w:p w:rsidR="00D74389" w:rsidRDefault="00D74389" w:rsidP="00D74389">
            <w:pPr>
              <w:widowControl w:val="0"/>
              <w:spacing w:after="0" w:line="240" w:lineRule="auto"/>
              <w:jc w:val="both"/>
              <w:rPr>
                <w:rFonts w:ascii="Georgia" w:eastAsia="Georgia" w:hAnsi="Georgia" w:cs="Georgia"/>
              </w:rPr>
            </w:pPr>
            <w:r w:rsidRPr="00D74389">
              <w:rPr>
                <w:rFonts w:ascii="Georgia" w:eastAsia="Georgia" w:hAnsi="Georgia" w:cs="Georgia"/>
              </w:rPr>
              <w:t>Los resultados de la iniciativa son significativos y de alto impacto, toda vez que se logró:</w:t>
            </w:r>
          </w:p>
          <w:p w:rsidR="00D74389" w:rsidRPr="00D74389" w:rsidRDefault="00D74389" w:rsidP="00D74389">
            <w:pPr>
              <w:widowControl w:val="0"/>
              <w:spacing w:after="0" w:line="240" w:lineRule="auto"/>
              <w:jc w:val="both"/>
              <w:rPr>
                <w:rFonts w:ascii="Georgia" w:eastAsia="Georgia" w:hAnsi="Georgia" w:cs="Georgia"/>
              </w:rPr>
            </w:pPr>
          </w:p>
          <w:p w:rsidR="00D74389" w:rsidRPr="00D74389" w:rsidRDefault="00D74389" w:rsidP="00D74389">
            <w:pPr>
              <w:pStyle w:val="Prrafodelista"/>
              <w:widowControl w:val="0"/>
              <w:numPr>
                <w:ilvl w:val="0"/>
                <w:numId w:val="10"/>
              </w:numPr>
              <w:spacing w:after="0" w:line="240" w:lineRule="auto"/>
              <w:jc w:val="both"/>
              <w:rPr>
                <w:rFonts w:ascii="Georgia" w:eastAsia="Georgia" w:hAnsi="Georgia" w:cs="Georgia"/>
              </w:rPr>
            </w:pPr>
            <w:r w:rsidRPr="00D74389">
              <w:rPr>
                <w:rFonts w:ascii="Georgia" w:eastAsia="Georgia" w:hAnsi="Georgia" w:cs="Georgia"/>
              </w:rPr>
              <w:t>Mayor celeridad en las comunicaciones con las entidades fiscalizadas, eliminando el tránsito de planillas vía correo electrónico.</w:t>
            </w:r>
          </w:p>
          <w:p w:rsidR="00D74389" w:rsidRPr="00D74389" w:rsidRDefault="00D74389" w:rsidP="00D74389">
            <w:pPr>
              <w:pStyle w:val="Prrafodelista"/>
              <w:widowControl w:val="0"/>
              <w:numPr>
                <w:ilvl w:val="0"/>
                <w:numId w:val="10"/>
              </w:numPr>
              <w:spacing w:after="0" w:line="240" w:lineRule="auto"/>
              <w:jc w:val="both"/>
              <w:rPr>
                <w:rFonts w:ascii="Georgia" w:eastAsia="Georgia" w:hAnsi="Georgia" w:cs="Georgia"/>
              </w:rPr>
            </w:pPr>
            <w:r w:rsidRPr="00D74389">
              <w:rPr>
                <w:rFonts w:ascii="Georgia" w:eastAsia="Georgia" w:hAnsi="Georgia" w:cs="Georgia"/>
              </w:rPr>
              <w:t>Cumplir la normativa asociada con ayuda sistémica, centralizando y estandarizando la información de cumplimiento.</w:t>
            </w:r>
          </w:p>
          <w:p w:rsidR="00D74389" w:rsidRPr="00D74389" w:rsidRDefault="00D74389" w:rsidP="00D74389">
            <w:pPr>
              <w:pStyle w:val="Prrafodelista"/>
              <w:widowControl w:val="0"/>
              <w:numPr>
                <w:ilvl w:val="0"/>
                <w:numId w:val="10"/>
              </w:numPr>
              <w:spacing w:after="0" w:line="240" w:lineRule="auto"/>
              <w:jc w:val="both"/>
              <w:rPr>
                <w:rFonts w:ascii="Georgia" w:eastAsia="Georgia" w:hAnsi="Georgia" w:cs="Georgia"/>
              </w:rPr>
            </w:pPr>
            <w:r w:rsidRPr="00D74389">
              <w:rPr>
                <w:rFonts w:ascii="Georgia" w:eastAsia="Georgia" w:hAnsi="Georgia" w:cs="Georgia"/>
              </w:rPr>
              <w:t>Mejorar la calidad y eficiencia de las tareas propias de los Departamento de Fiscalización.</w:t>
            </w:r>
          </w:p>
          <w:p w:rsidR="006F6527" w:rsidRPr="00D74389" w:rsidRDefault="00D74389" w:rsidP="00D74389">
            <w:pPr>
              <w:pStyle w:val="Prrafodelista"/>
              <w:widowControl w:val="0"/>
              <w:numPr>
                <w:ilvl w:val="0"/>
                <w:numId w:val="10"/>
              </w:numPr>
              <w:spacing w:after="0" w:line="240" w:lineRule="auto"/>
              <w:jc w:val="both"/>
              <w:rPr>
                <w:rFonts w:ascii="Georgia" w:eastAsia="Georgia" w:hAnsi="Georgia" w:cs="Georgia"/>
              </w:rPr>
            </w:pPr>
            <w:r w:rsidRPr="00D74389">
              <w:rPr>
                <w:rFonts w:ascii="Georgia" w:eastAsia="Georgia" w:hAnsi="Georgia" w:cs="Georgia"/>
              </w:rPr>
              <w:t>Brindar un mejor servicio a los usuarios, ya que al estar integrada esta información al propio sistema, se puede informar rápidamente al usuario del estado de cumplimiento del dictamen generado.</w:t>
            </w:r>
          </w:p>
        </w:tc>
      </w:tr>
    </w:tbl>
    <w:p w:rsidR="006F6527" w:rsidRDefault="004730B9">
      <w:pPr>
        <w:shd w:val="clear" w:color="auto" w:fill="FFFFFF"/>
        <w:spacing w:before="220" w:after="220" w:line="360" w:lineRule="auto"/>
        <w:jc w:val="both"/>
        <w:rPr>
          <w:color w:val="000000"/>
          <w:sz w:val="20"/>
          <w:szCs w:val="20"/>
        </w:rPr>
      </w:pPr>
      <w:bookmarkStart w:id="10" w:name="_Hlk124513681"/>
      <w:r>
        <w:rPr>
          <w:color w:val="000000"/>
          <w:sz w:val="20"/>
          <w:szCs w:val="20"/>
        </w:rPr>
        <w:t xml:space="preserve">2) Contexto. </w:t>
      </w:r>
    </w:p>
    <w:p w:rsidR="006F6527" w:rsidRDefault="004730B9">
      <w:pPr>
        <w:shd w:val="clear" w:color="auto" w:fill="FFFFFF"/>
        <w:spacing w:before="220" w:after="220" w:line="360" w:lineRule="auto"/>
        <w:jc w:val="both"/>
        <w:rPr>
          <w:color w:val="000000"/>
          <w:sz w:val="18"/>
          <w:szCs w:val="18"/>
        </w:rPr>
      </w:pPr>
      <w:r>
        <w:rPr>
          <w:color w:val="000000"/>
          <w:sz w:val="20"/>
          <w:szCs w:val="20"/>
        </w:rPr>
        <w:t xml:space="preserve">Cuéntanos un poco más. Por ejemplo, sobre tu institución y tu equipo. ¿Cuáles eran los desafíos? ¿qué actores claves se identificaron? ¿cuál fue la oportunidad que </w:t>
      </w:r>
      <w:r w:rsidR="000C4EEA">
        <w:rPr>
          <w:color w:val="000000"/>
          <w:sz w:val="20"/>
          <w:szCs w:val="20"/>
        </w:rPr>
        <w:t>detectaron? ¿</w:t>
      </w:r>
      <w:r>
        <w:rPr>
          <w:color w:val="000000"/>
          <w:sz w:val="20"/>
          <w:szCs w:val="20"/>
        </w:rPr>
        <w:t>cuál fue el objetivo que se identificó?</w:t>
      </w:r>
    </w:p>
    <w:tbl>
      <w:tblPr>
        <w:tblStyle w:val="affff9"/>
        <w:tblW w:w="92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7"/>
      </w:tblGrid>
      <w:tr w:rsidR="006F6527">
        <w:trPr>
          <w:trHeight w:val="1863"/>
        </w:trPr>
        <w:tc>
          <w:tcPr>
            <w:tcW w:w="9207" w:type="dxa"/>
            <w:shd w:val="clear" w:color="auto" w:fill="auto"/>
            <w:tcMar>
              <w:top w:w="100" w:type="dxa"/>
              <w:left w:w="100" w:type="dxa"/>
              <w:bottom w:w="100" w:type="dxa"/>
              <w:right w:w="100" w:type="dxa"/>
            </w:tcMar>
          </w:tcPr>
          <w:bookmarkEnd w:id="10"/>
          <w:p w:rsidR="00D74389" w:rsidRDefault="00D74389" w:rsidP="00D74389">
            <w:pPr>
              <w:widowControl w:val="0"/>
              <w:spacing w:after="0" w:line="240" w:lineRule="auto"/>
              <w:jc w:val="both"/>
              <w:rPr>
                <w:rFonts w:ascii="Georgia" w:eastAsia="Georgia" w:hAnsi="Georgia" w:cs="Georgia"/>
              </w:rPr>
            </w:pPr>
            <w:r w:rsidRPr="00D74389">
              <w:rPr>
                <w:rFonts w:ascii="Georgia" w:eastAsia="Georgia" w:hAnsi="Georgia" w:cs="Georgia"/>
              </w:rPr>
              <w:t xml:space="preserve">A modo de diagnóstico, se precisa que, al momento en que se implementó el Procedimiento Administrativo Electrónico (PAE) en la SUSESO, quedaron fuera del flujo sistémico las acciones relacionadas al cumplimiento de dictámenes. En este sentido, para saber si una entidad fiscalizada había cumplido o no con las instrucciones emanadas desde SUSESO respecto de las reclamaciones involucradas, se indicó que esto se informara de manera mensual, usando una planilla Excel enviándola vía correo electrónico, lo cual generaba muchos problemas (de oportunidad, calidad, accesibilidad y cumplimiento). </w:t>
            </w:r>
          </w:p>
          <w:p w:rsidR="00D74389" w:rsidRPr="00D74389" w:rsidRDefault="00D74389" w:rsidP="00D74389">
            <w:pPr>
              <w:widowControl w:val="0"/>
              <w:spacing w:after="0" w:line="240" w:lineRule="auto"/>
              <w:jc w:val="both"/>
              <w:rPr>
                <w:rFonts w:ascii="Georgia" w:eastAsia="Georgia" w:hAnsi="Georgia" w:cs="Georgia"/>
              </w:rPr>
            </w:pPr>
          </w:p>
          <w:p w:rsidR="00D74389" w:rsidRDefault="00D74389" w:rsidP="00D74389">
            <w:pPr>
              <w:widowControl w:val="0"/>
              <w:spacing w:after="0" w:line="240" w:lineRule="auto"/>
              <w:jc w:val="both"/>
              <w:rPr>
                <w:rFonts w:ascii="Georgia" w:eastAsia="Georgia" w:hAnsi="Georgia" w:cs="Georgia"/>
              </w:rPr>
            </w:pPr>
            <w:r w:rsidRPr="00D74389">
              <w:rPr>
                <w:rFonts w:ascii="Georgia" w:eastAsia="Georgia" w:hAnsi="Georgia" w:cs="Georgia"/>
              </w:rPr>
              <w:t xml:space="preserve">A partir de lo anterior, el principal desafío la iniciativa fue generar un modelo eficiente de interacción con los organismos administradores de los regímenes de seguridad social por medio de una plataforma que conectara en línea a la Superintendencia con las entidades fiscalizadas, facilitando el reporte de cumplimiento de dictámenes que </w:t>
            </w:r>
            <w:r w:rsidRPr="00D74389">
              <w:rPr>
                <w:rFonts w:ascii="Georgia" w:eastAsia="Georgia" w:hAnsi="Georgia" w:cs="Georgia"/>
              </w:rPr>
              <w:lastRenderedPageBreak/>
              <w:t>generan instrucciones a las entidades.</w:t>
            </w:r>
          </w:p>
          <w:p w:rsidR="00D74389" w:rsidRPr="00D74389" w:rsidRDefault="00D74389" w:rsidP="00D74389">
            <w:pPr>
              <w:widowControl w:val="0"/>
              <w:spacing w:after="0" w:line="240" w:lineRule="auto"/>
              <w:jc w:val="both"/>
              <w:rPr>
                <w:rFonts w:ascii="Georgia" w:eastAsia="Georgia" w:hAnsi="Georgia" w:cs="Georgia"/>
              </w:rPr>
            </w:pPr>
          </w:p>
          <w:p w:rsidR="00D74389" w:rsidRDefault="00D74389" w:rsidP="00D74389">
            <w:pPr>
              <w:widowControl w:val="0"/>
              <w:spacing w:after="0" w:line="240" w:lineRule="auto"/>
              <w:jc w:val="both"/>
              <w:rPr>
                <w:rFonts w:ascii="Georgia" w:eastAsia="Georgia" w:hAnsi="Georgia" w:cs="Georgia"/>
              </w:rPr>
            </w:pPr>
            <w:r w:rsidRPr="00D74389">
              <w:rPr>
                <w:rFonts w:ascii="Georgia" w:eastAsia="Georgia" w:hAnsi="Georgia" w:cs="Georgia"/>
              </w:rPr>
              <w:t xml:space="preserve">Se definieron como actores clave del proceso a los usuarios a quienes se les debía cumplir con un dictamen, a las entidades administradoras que debían cumplir el dictamen y a los equipos de fiscalización de la SUSESO que debían supervigilar el cumplimiento. </w:t>
            </w:r>
          </w:p>
          <w:p w:rsidR="00D74389" w:rsidRPr="00D74389" w:rsidRDefault="00D74389" w:rsidP="00D74389">
            <w:pPr>
              <w:widowControl w:val="0"/>
              <w:spacing w:after="0" w:line="240" w:lineRule="auto"/>
              <w:jc w:val="both"/>
              <w:rPr>
                <w:rFonts w:ascii="Georgia" w:eastAsia="Georgia" w:hAnsi="Georgia" w:cs="Georgia"/>
              </w:rPr>
            </w:pPr>
          </w:p>
          <w:p w:rsidR="00D74389" w:rsidRDefault="00D74389" w:rsidP="00D74389">
            <w:pPr>
              <w:widowControl w:val="0"/>
              <w:spacing w:after="0" w:line="240" w:lineRule="auto"/>
              <w:jc w:val="both"/>
              <w:rPr>
                <w:rFonts w:ascii="Georgia" w:eastAsia="Georgia" w:hAnsi="Georgia" w:cs="Georgia"/>
              </w:rPr>
            </w:pPr>
            <w:r w:rsidRPr="00D74389">
              <w:rPr>
                <w:rFonts w:ascii="Georgia" w:eastAsia="Georgia" w:hAnsi="Georgia" w:cs="Georgia"/>
              </w:rPr>
              <w:t>La principal oportunidad se tradujo en incluir un modelo de supervigilancia activo posterior a la resolución de un caso (en el mundo privado se le conoce como “postventa”, y en general, en los organismos públicos no existe).</w:t>
            </w:r>
          </w:p>
          <w:p w:rsidR="00D74389" w:rsidRPr="00D74389" w:rsidRDefault="00D74389" w:rsidP="00D74389">
            <w:pPr>
              <w:widowControl w:val="0"/>
              <w:spacing w:after="0" w:line="240" w:lineRule="auto"/>
              <w:jc w:val="both"/>
              <w:rPr>
                <w:rFonts w:ascii="Georgia" w:eastAsia="Georgia" w:hAnsi="Georgia" w:cs="Georgia"/>
              </w:rPr>
            </w:pPr>
          </w:p>
          <w:p w:rsidR="006F6527" w:rsidRDefault="00D74389" w:rsidP="00D74389">
            <w:pPr>
              <w:widowControl w:val="0"/>
              <w:spacing w:after="0" w:line="240" w:lineRule="auto"/>
              <w:jc w:val="both"/>
              <w:rPr>
                <w:rFonts w:ascii="Georgia" w:eastAsia="Georgia" w:hAnsi="Georgia" w:cs="Georgia"/>
              </w:rPr>
            </w:pPr>
            <w:r w:rsidRPr="00D74389">
              <w:rPr>
                <w:rFonts w:ascii="Georgia" w:eastAsia="Georgia" w:hAnsi="Georgia" w:cs="Georgia"/>
              </w:rPr>
              <w:t>De esta forma, la finalidad de este reporte de cumplimiento es lograr la trazabilidad del estado final de un reclamo resuelto en la SUSESO, cargando y exigiendo al organismo fiscalizado con la obligación activa de reportarlo, informándose por la Entidad reclamada que cumplió la instrucción, lográndose de esta forma: informar al interesado del estado; poner a disposición de los equipos de fiscalización de datos, antecedentes y documentos que permitan desplegar sus procesos; y, proporcionar información relevante a los canales de atención de público.</w:t>
            </w:r>
          </w:p>
        </w:tc>
      </w:tr>
    </w:tbl>
    <w:p w:rsidR="006F6527" w:rsidRDefault="006F6527">
      <w:pPr>
        <w:shd w:val="clear" w:color="auto" w:fill="FFFFFF"/>
        <w:spacing w:before="220" w:after="220" w:line="360" w:lineRule="auto"/>
        <w:jc w:val="both"/>
        <w:rPr>
          <w:color w:val="000000"/>
          <w:sz w:val="20"/>
          <w:szCs w:val="20"/>
        </w:rPr>
      </w:pPr>
    </w:p>
    <w:p w:rsidR="006F6527" w:rsidRDefault="004730B9">
      <w:pPr>
        <w:shd w:val="clear" w:color="auto" w:fill="FFFFFF"/>
        <w:spacing w:before="220" w:after="220" w:line="360" w:lineRule="auto"/>
        <w:jc w:val="both"/>
        <w:rPr>
          <w:color w:val="000000"/>
          <w:sz w:val="20"/>
          <w:szCs w:val="20"/>
        </w:rPr>
      </w:pPr>
      <w:bookmarkStart w:id="11" w:name="_Hlk124513712"/>
      <w:r>
        <w:rPr>
          <w:color w:val="000000"/>
          <w:sz w:val="20"/>
          <w:szCs w:val="20"/>
        </w:rPr>
        <w:t>3) Acciones y estrategia.</w:t>
      </w:r>
    </w:p>
    <w:p w:rsidR="006F6527" w:rsidRDefault="004730B9">
      <w:pPr>
        <w:shd w:val="clear" w:color="auto" w:fill="FFFFFF"/>
        <w:spacing w:before="220" w:after="220" w:line="360" w:lineRule="auto"/>
        <w:jc w:val="both"/>
        <w:rPr>
          <w:color w:val="000000"/>
          <w:sz w:val="18"/>
          <w:szCs w:val="18"/>
        </w:rPr>
      </w:pPr>
      <w:r>
        <w:rPr>
          <w:color w:val="000000"/>
          <w:sz w:val="20"/>
          <w:szCs w:val="20"/>
        </w:rPr>
        <w:t xml:space="preserve">Explica paso a paso qué acciones o estrategias se llevaron a cabo. ¿Cómo se planificó para afrontar los desafíos? ¿qué cambios fue necesario realizar en el proceso? ¿qué metodologías o herramientas utilizaron? ¿cómo involucraron a los usuarios internos o externos? </w:t>
      </w:r>
    </w:p>
    <w:tbl>
      <w:tblPr>
        <w:tblStyle w:val="affffa"/>
        <w:tblW w:w="92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7"/>
      </w:tblGrid>
      <w:tr w:rsidR="006F6527">
        <w:trPr>
          <w:trHeight w:val="1863"/>
        </w:trPr>
        <w:tc>
          <w:tcPr>
            <w:tcW w:w="9207" w:type="dxa"/>
            <w:shd w:val="clear" w:color="auto" w:fill="auto"/>
            <w:tcMar>
              <w:top w:w="100" w:type="dxa"/>
              <w:left w:w="100" w:type="dxa"/>
              <w:bottom w:w="100" w:type="dxa"/>
              <w:right w:w="100" w:type="dxa"/>
            </w:tcMar>
          </w:tcPr>
          <w:bookmarkEnd w:id="11"/>
          <w:p w:rsidR="00D74389" w:rsidRPr="00D74389" w:rsidRDefault="00D74389" w:rsidP="00D74389">
            <w:pPr>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 xml:space="preserve">La estrategia se tradujo en lograr que las entidades fiscalizadas reportaran, en línea, el estado final en la trazabilidad de los casos que son reclamados en SUSESO, por medio del cual se informe si se cumplió o no la instrucción que formaba parte del dictamen que resolvió una reclamación.  </w:t>
            </w:r>
          </w:p>
          <w:p w:rsidR="00D74389" w:rsidRPr="00D74389" w:rsidRDefault="00D74389" w:rsidP="00D74389">
            <w:pPr>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 xml:space="preserve">Los desafíos que inspiraron este nuevo modelo de Reporte de Cumplimiento fueron tres: </w:t>
            </w:r>
          </w:p>
          <w:p w:rsidR="00D74389" w:rsidRPr="00D74389" w:rsidRDefault="00D74389" w:rsidP="00D74389">
            <w:pPr>
              <w:numPr>
                <w:ilvl w:val="0"/>
                <w:numId w:val="11"/>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 xml:space="preserve">Lograr informar a los/as usuarios/as del estado de cumplimiento de sus reclamaciones. </w:t>
            </w:r>
          </w:p>
          <w:p w:rsidR="00D74389" w:rsidRPr="00D74389" w:rsidRDefault="00D74389" w:rsidP="00D74389">
            <w:pPr>
              <w:numPr>
                <w:ilvl w:val="0"/>
                <w:numId w:val="11"/>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Lograr proporcionar información e insumos a los equipos de fiscalización de SUSESO para monitorear el proceso de cumplimiento de los dictámenes</w:t>
            </w:r>
          </w:p>
          <w:p w:rsidR="00D74389" w:rsidRPr="00D74389" w:rsidRDefault="00D74389" w:rsidP="00D74389">
            <w:pPr>
              <w:numPr>
                <w:ilvl w:val="0"/>
                <w:numId w:val="11"/>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Lograr proporcionar información e insumos a los equipos de atención de público (OIRS, Mesa de Ayuda) de SUSESO para poder responder las consultas que los/as usuarios/as planteen sobre el estado de cumplimiento de  sus reclamaciones.</w:t>
            </w:r>
          </w:p>
          <w:p w:rsidR="00D74389" w:rsidRPr="00D74389" w:rsidRDefault="00D74389" w:rsidP="00D74389">
            <w:pPr>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lastRenderedPageBreak/>
              <w:t>Todo lo anterior se cumplió integrando una solución a la plataforma de tramitación de reclamaciones existente en la institución, generando nuevos flujos, nuevas interfaces y nuevas instancias de reporte. En tal sentido, la principal estrategia de modelo de reporte de cumplimiento es que fuera efectuado directamente en  la plataforma existente, en línea,  de forma  transaccional, es decir, vinculándolo a cada caso o expediente de reclamación.</w:t>
            </w:r>
          </w:p>
          <w:p w:rsidR="00D74389" w:rsidRPr="00D74389" w:rsidRDefault="00D74389" w:rsidP="00D74389">
            <w:pPr>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En cuanto a las herramientas y metodología utilizada, se precisan a continuación:</w:t>
            </w:r>
          </w:p>
          <w:p w:rsidR="00D74389" w:rsidRPr="00D74389" w:rsidRDefault="00D74389" w:rsidP="00D74389">
            <w:pPr>
              <w:numPr>
                <w:ilvl w:val="0"/>
                <w:numId w:val="12"/>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 xml:space="preserve">La SUSESO impartió instrucciones específicas a las entidades exigiendo el reporte de cumplimiento, estableciéndose que el reporte en régimen se puede realizar por dos vías: i) en modelo transaccional, es decir, reportando en forma específica cada caso, o, </w:t>
            </w:r>
            <w:proofErr w:type="spellStart"/>
            <w:r w:rsidRPr="00D74389">
              <w:rPr>
                <w:rFonts w:ascii="Georgia" w:eastAsiaTheme="minorHAnsi" w:hAnsi="Georgia" w:cstheme="minorBidi"/>
                <w:color w:val="auto"/>
                <w:lang w:eastAsia="en-US"/>
              </w:rPr>
              <w:t>ii</w:t>
            </w:r>
            <w:proofErr w:type="spellEnd"/>
            <w:r w:rsidRPr="00D74389">
              <w:rPr>
                <w:rFonts w:ascii="Georgia" w:eastAsiaTheme="minorHAnsi" w:hAnsi="Georgia" w:cstheme="minorBidi"/>
                <w:color w:val="auto"/>
                <w:lang w:eastAsia="en-US"/>
              </w:rPr>
              <w:t>) en modalidad masiva, por medio de carga de archivos, en tanto lo reportado cumpla con los plazos requeridos para informarlo.</w:t>
            </w:r>
          </w:p>
          <w:p w:rsidR="00D74389" w:rsidRPr="00D74389" w:rsidRDefault="00D74389" w:rsidP="00D74389">
            <w:pPr>
              <w:numPr>
                <w:ilvl w:val="0"/>
                <w:numId w:val="12"/>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Se exigió que para evidenciar el cumplimiento de una instrucción la Entidad deberá individualizar el documento o antecedente que diera cuenta del cumplimiento de lo instruido.</w:t>
            </w:r>
          </w:p>
          <w:p w:rsidR="00D74389" w:rsidRPr="00D74389" w:rsidRDefault="00D74389" w:rsidP="00D74389">
            <w:pPr>
              <w:numPr>
                <w:ilvl w:val="0"/>
                <w:numId w:val="12"/>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Por otra parte, si bien la obligación solo aplicaba para lo futuro, se determinó que, para efectos de mantener un registro histórico, previo al funcionamiento en régimen del nuevo modelo de reporte de cumplimiento de dictámenes,  las entidades que interactúan con el PAE debían poblar en el Sistema toda la información de los  casos que les correspondan, precisando el estado (en relación a su cumplimiento) y ajustado a los dominios proporcionados por la entidad.  Para estos efectos, se habilitó en el PAE Web una nueva opción en el menú de reportes llamada  “Carga Masiva Cumplimiento Dictamen” que permitía cargar el histórico por cada Entidad.</w:t>
            </w:r>
          </w:p>
          <w:p w:rsidR="00D74389" w:rsidRDefault="00D74389" w:rsidP="00D74389">
            <w:pPr>
              <w:numPr>
                <w:ilvl w:val="0"/>
                <w:numId w:val="12"/>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 xml:space="preserve">Por último, para efectos de hacer un seguimiento en línea y apoyar los equipos de fiscalización, se incluyó alerta que indica casos "pendientes" o "Incumplidos", que tengan más de X días  hábiles en ese estado desde la "Fecha de dictamen" para los Pendientes, y desde la "Fecha  de Reporte" para los Incumplidos; para efectos de realizar un proceso de supervigilancia y control más eficiente. </w:t>
            </w:r>
          </w:p>
          <w:p w:rsidR="00D74389" w:rsidRPr="00D74389" w:rsidRDefault="00D74389" w:rsidP="00D74389">
            <w:pPr>
              <w:ind w:left="720"/>
              <w:contextualSpacing/>
              <w:jc w:val="both"/>
              <w:rPr>
                <w:rFonts w:ascii="Georgia" w:eastAsiaTheme="minorHAnsi" w:hAnsi="Georgia" w:cstheme="minorBidi"/>
                <w:color w:val="auto"/>
                <w:lang w:eastAsia="en-US"/>
              </w:rPr>
            </w:pPr>
          </w:p>
          <w:p w:rsidR="00D74389" w:rsidRPr="00D74389" w:rsidRDefault="00D74389" w:rsidP="00D74389">
            <w:pPr>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En el diseño se incluyó a todas las áreas de la Superintendencia involucradas, es decir: Departamento de Tecnología y Operaciones, Departamento de Asistencia y Servicios a los Usuarios, Departamento Normativo de ambas Intendencias, Departamento de Fiscalización de ambas Intendencias.</w:t>
            </w:r>
          </w:p>
          <w:p w:rsidR="00D74389" w:rsidRPr="00D74389" w:rsidRDefault="00D74389" w:rsidP="00D74389">
            <w:pPr>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Asimismo, la implementación de la iniciativa implicó liderar y gestionar, por más de 6 meses, una Mesa de Trabajo que supuso coordinar la labor de más de 60 entidades administradoras de regímenes de seguridad social.</w:t>
            </w:r>
          </w:p>
          <w:p w:rsidR="00F84BA7" w:rsidRDefault="00F84BA7" w:rsidP="008E347E">
            <w:pPr>
              <w:widowControl w:val="0"/>
              <w:spacing w:after="0" w:line="240" w:lineRule="auto"/>
              <w:rPr>
                <w:rFonts w:ascii="Georgia" w:eastAsia="Georgia" w:hAnsi="Georgia" w:cs="Georgia"/>
              </w:rPr>
            </w:pPr>
          </w:p>
        </w:tc>
      </w:tr>
    </w:tbl>
    <w:p w:rsidR="006F6527" w:rsidRDefault="004730B9">
      <w:pPr>
        <w:shd w:val="clear" w:color="auto" w:fill="FFFFFF"/>
        <w:spacing w:before="220" w:after="220" w:line="360" w:lineRule="auto"/>
        <w:jc w:val="both"/>
        <w:rPr>
          <w:color w:val="000000"/>
          <w:sz w:val="20"/>
          <w:szCs w:val="20"/>
        </w:rPr>
      </w:pPr>
      <w:bookmarkStart w:id="12" w:name="_Hlk124513733"/>
      <w:r>
        <w:rPr>
          <w:color w:val="000000"/>
          <w:sz w:val="20"/>
          <w:szCs w:val="20"/>
        </w:rPr>
        <w:lastRenderedPageBreak/>
        <w:t>4) Recursos</w:t>
      </w:r>
    </w:p>
    <w:p w:rsidR="006F6527" w:rsidRDefault="004730B9">
      <w:pPr>
        <w:shd w:val="clear" w:color="auto" w:fill="FFFFFF"/>
        <w:spacing w:before="220" w:after="220" w:line="360" w:lineRule="auto"/>
        <w:jc w:val="both"/>
        <w:rPr>
          <w:color w:val="000000"/>
          <w:sz w:val="18"/>
          <w:szCs w:val="18"/>
        </w:rPr>
      </w:pPr>
      <w:r>
        <w:rPr>
          <w:color w:val="000000"/>
          <w:sz w:val="20"/>
          <w:szCs w:val="20"/>
        </w:rPr>
        <w:t>Esta iniciativa ¿se realizó con equipos internos o con proveedores externos? ¿qué presupuesto implicó?</w:t>
      </w:r>
    </w:p>
    <w:tbl>
      <w:tblPr>
        <w:tblStyle w:val="affffb"/>
        <w:tblW w:w="92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7"/>
      </w:tblGrid>
      <w:tr w:rsidR="006F6527">
        <w:trPr>
          <w:trHeight w:val="1863"/>
        </w:trPr>
        <w:tc>
          <w:tcPr>
            <w:tcW w:w="9207" w:type="dxa"/>
            <w:shd w:val="clear" w:color="auto" w:fill="auto"/>
            <w:tcMar>
              <w:top w:w="100" w:type="dxa"/>
              <w:left w:w="100" w:type="dxa"/>
              <w:bottom w:w="100" w:type="dxa"/>
              <w:right w:w="100" w:type="dxa"/>
            </w:tcMar>
          </w:tcPr>
          <w:bookmarkEnd w:id="12"/>
          <w:p w:rsidR="006F6527" w:rsidRDefault="00D74389" w:rsidP="00D74389">
            <w:pPr>
              <w:widowControl w:val="0"/>
              <w:spacing w:after="0" w:line="240" w:lineRule="auto"/>
              <w:jc w:val="both"/>
              <w:rPr>
                <w:rFonts w:ascii="Georgia" w:eastAsia="Georgia" w:hAnsi="Georgia" w:cs="Georgia"/>
              </w:rPr>
            </w:pPr>
            <w:r w:rsidRPr="00D74389">
              <w:rPr>
                <w:rFonts w:ascii="Georgia" w:eastAsia="Georgia" w:hAnsi="Georgia" w:cs="Georgia"/>
              </w:rPr>
              <w:t>Esta iniciativa se realizó tanto con recursos internos como con proveedores externos. Toda la etapa de levantamiento, especificación de requerimientos, diseño, pruebas, coordinación con usuarios, y gestión del cambio fue realizada por funcionarios/as de la SUSESO; y, el desarrollo e implementación fue realizado por proveedor externo, considerando que debía integrarse a una solución tecnológica ya implementada (Procedimiento Administrativo Electrónico). Se financió con horas de actualización del sistema existente.</w:t>
            </w:r>
          </w:p>
        </w:tc>
      </w:tr>
    </w:tbl>
    <w:p w:rsidR="00AC206B" w:rsidRDefault="00AC206B">
      <w:pPr>
        <w:shd w:val="clear" w:color="auto" w:fill="FFFFFF"/>
        <w:spacing w:before="220" w:after="220" w:line="360" w:lineRule="auto"/>
        <w:jc w:val="both"/>
        <w:rPr>
          <w:color w:val="000000"/>
          <w:sz w:val="20"/>
          <w:szCs w:val="20"/>
        </w:rPr>
      </w:pPr>
    </w:p>
    <w:p w:rsidR="006F6527" w:rsidRDefault="004730B9">
      <w:pPr>
        <w:shd w:val="clear" w:color="auto" w:fill="FFFFFF"/>
        <w:spacing w:before="220" w:after="220" w:line="360" w:lineRule="auto"/>
        <w:jc w:val="both"/>
        <w:rPr>
          <w:color w:val="000000"/>
          <w:sz w:val="20"/>
          <w:szCs w:val="20"/>
        </w:rPr>
      </w:pPr>
      <w:bookmarkStart w:id="13" w:name="_Hlk124513744"/>
      <w:r>
        <w:rPr>
          <w:color w:val="000000"/>
          <w:sz w:val="20"/>
          <w:szCs w:val="20"/>
        </w:rPr>
        <w:t xml:space="preserve">5) Resultados </w:t>
      </w:r>
    </w:p>
    <w:p w:rsidR="006F6527" w:rsidRDefault="004730B9">
      <w:pPr>
        <w:shd w:val="clear" w:color="auto" w:fill="FFFFFF"/>
        <w:spacing w:before="220" w:after="220" w:line="360" w:lineRule="auto"/>
        <w:jc w:val="both"/>
        <w:rPr>
          <w:color w:val="000000"/>
          <w:sz w:val="18"/>
          <w:szCs w:val="18"/>
        </w:rPr>
      </w:pPr>
      <w:r>
        <w:rPr>
          <w:color w:val="000000"/>
          <w:sz w:val="20"/>
          <w:szCs w:val="20"/>
        </w:rPr>
        <w:t xml:space="preserve">Cuéntanos los resultados y conecta los puntos anteriores. ¿Cuál fue el impacto de esta </w:t>
      </w:r>
      <w:r w:rsidR="000C4EEA">
        <w:rPr>
          <w:color w:val="000000"/>
          <w:sz w:val="20"/>
          <w:szCs w:val="20"/>
        </w:rPr>
        <w:t>iniciativa? ¿</w:t>
      </w:r>
      <w:r>
        <w:rPr>
          <w:color w:val="000000"/>
          <w:sz w:val="20"/>
          <w:szCs w:val="20"/>
        </w:rPr>
        <w:t>cómo cambió la situación inicial? ¿qué beneficios obtuvieron los usuarios? ¿Cuánto tiempo duró el proceso? ¿Posees métricas y datos de impacto que den cuenta del avance de una etapa inicial hasta el final del proceso? Cuéntanos acá.</w:t>
      </w:r>
    </w:p>
    <w:tbl>
      <w:tblPr>
        <w:tblStyle w:val="affffc"/>
        <w:tblW w:w="92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7"/>
      </w:tblGrid>
      <w:tr w:rsidR="006F6527">
        <w:trPr>
          <w:trHeight w:val="1863"/>
        </w:trPr>
        <w:tc>
          <w:tcPr>
            <w:tcW w:w="9207" w:type="dxa"/>
            <w:shd w:val="clear" w:color="auto" w:fill="auto"/>
            <w:tcMar>
              <w:top w:w="100" w:type="dxa"/>
              <w:left w:w="100" w:type="dxa"/>
              <w:bottom w:w="100" w:type="dxa"/>
              <w:right w:w="100" w:type="dxa"/>
            </w:tcMar>
          </w:tcPr>
          <w:bookmarkEnd w:id="13"/>
          <w:p w:rsidR="00D74389" w:rsidRPr="00D74389" w:rsidRDefault="00D74389" w:rsidP="00D74389">
            <w:pPr>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 xml:space="preserve">En cuanto a los resultados, impacto de la iniciativa, a la forma como cambió la situación previa a la mismo y los beneficios concretos que obtuvieron los usuarios, se destacan los siguientes: </w:t>
            </w:r>
          </w:p>
          <w:p w:rsidR="00D74389" w:rsidRPr="00D74389" w:rsidRDefault="00D74389" w:rsidP="00D74389">
            <w:pPr>
              <w:numPr>
                <w:ilvl w:val="0"/>
                <w:numId w:val="13"/>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Permitir reportar en línea, y dentro del PAE, por cada dictamen, el estado de cumplimiento del mismo, con la posibilidad además de subir documentos que lo respalden.</w:t>
            </w:r>
          </w:p>
          <w:p w:rsidR="00D74389" w:rsidRPr="00D74389" w:rsidRDefault="00D74389" w:rsidP="00D74389">
            <w:pPr>
              <w:numPr>
                <w:ilvl w:val="0"/>
                <w:numId w:val="13"/>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Permitir a los Departamentos de fiscalización que interactúen directamente con el cumplimiento de los dictámenes, revisando cada situación. Esto permitió generar un flujo directo entre Fiscalización y las entidades.</w:t>
            </w:r>
          </w:p>
          <w:p w:rsidR="00D74389" w:rsidRPr="00D74389" w:rsidRDefault="00D74389" w:rsidP="00D74389">
            <w:pPr>
              <w:numPr>
                <w:ilvl w:val="0"/>
                <w:numId w:val="13"/>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Permitir a los Departamentos de fiscalización una mejor gestión asociada a la revisión del cumplimiento de dictamen, así como los plazos de los mismos; pudiendo incluirse, de mejor manera, en sus planes de fiscalización.</w:t>
            </w:r>
          </w:p>
          <w:p w:rsidR="00D74389" w:rsidRPr="00D74389" w:rsidRDefault="00D74389" w:rsidP="00D74389">
            <w:pPr>
              <w:numPr>
                <w:ilvl w:val="0"/>
                <w:numId w:val="13"/>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Mejorar la atención a la ciudadanía cuando se presentan situaciones asociadas al no cumplimiento de un dictamen.</w:t>
            </w:r>
          </w:p>
          <w:p w:rsidR="00D74389" w:rsidRPr="00D74389" w:rsidRDefault="00D74389" w:rsidP="00D74389">
            <w:pPr>
              <w:numPr>
                <w:ilvl w:val="0"/>
                <w:numId w:val="13"/>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Además de permitir el reporte en línea, mediante el uso de una interfaz web, se permite la integración a través de servicios web, lo que impacta en los plazos de respuesta de las entidades.</w:t>
            </w:r>
          </w:p>
          <w:p w:rsidR="00D74389" w:rsidRPr="00D74389" w:rsidRDefault="00D74389" w:rsidP="00D74389">
            <w:pPr>
              <w:rPr>
                <w:rFonts w:ascii="Georgia" w:eastAsiaTheme="minorHAnsi" w:hAnsi="Georgia" w:cstheme="minorBidi"/>
                <w:color w:val="auto"/>
                <w:lang w:eastAsia="en-US"/>
              </w:rPr>
            </w:pPr>
            <w:r w:rsidRPr="00D74389">
              <w:rPr>
                <w:rFonts w:ascii="Georgia" w:eastAsiaTheme="minorHAnsi" w:hAnsi="Georgia" w:cstheme="minorBidi"/>
                <w:color w:val="auto"/>
                <w:lang w:eastAsia="en-US"/>
              </w:rPr>
              <w:t>En relación al tiempo que implicó el diseño, desarrollo, testeo, pruebas, carga de datos iniciales e implementación de esta iniciativa, fue de 6 meses, iniciando su funcionamiento en régimen el 15 de marzo del 2021.</w:t>
            </w:r>
          </w:p>
          <w:p w:rsidR="00D74389" w:rsidRPr="00D74389" w:rsidRDefault="00D74389" w:rsidP="00D74389">
            <w:pPr>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lastRenderedPageBreak/>
              <w:t>De esta forma, actualmente, la SUSESO cuenta con un sistema en línea que permite visualizar el comportamiento del proceso, y que facilita la gestión y explotación de datos. Con respecto a los resultados, se precisa a continuación evidencia concreta del éxito de la iniciativa, con información del 2022:</w:t>
            </w:r>
          </w:p>
          <w:p w:rsidR="00D74389" w:rsidRPr="00D74389" w:rsidRDefault="00D74389" w:rsidP="00D74389">
            <w:pPr>
              <w:numPr>
                <w:ilvl w:val="0"/>
                <w:numId w:val="14"/>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Más de 70.000 reportes de cumplimiento de dictamen, efectuados por las entidades fiscalizadas en el año 2022, que representa más de un 95% de cumplimiento.</w:t>
            </w:r>
          </w:p>
          <w:p w:rsidR="00D74389" w:rsidRPr="00D74389" w:rsidRDefault="00D74389" w:rsidP="00D74389">
            <w:pPr>
              <w:numPr>
                <w:ilvl w:val="0"/>
                <w:numId w:val="14"/>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Los Departamento de Fiscalización han desplegado procesos de fiscalización sobre la base de la información que entrega este nuevo Modelo de Reporte de Cumplimiento ( ejemplo de informe que está disponible en línea: Fiscalización ISESAT https://www.suseso.cl/609/articles-655440_archivo_01.pdf)</w:t>
            </w:r>
          </w:p>
          <w:p w:rsidR="00D74389" w:rsidRPr="00D74389" w:rsidRDefault="00D74389" w:rsidP="00D74389">
            <w:pPr>
              <w:numPr>
                <w:ilvl w:val="0"/>
                <w:numId w:val="14"/>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La Superintendencia de Seguridad Social, instruyó a las entidades administradoras de los regímenes de seguridad social que fiscaliza, respecto del plazo y el procedimiento para reportar el cumplimiento de las resoluciones de este Organismo Fiscalizador que resuelven un reclamo y que se imparten por medio del Procedimiento Administrativo Electrónico (PAE) usando este sistema.</w:t>
            </w:r>
          </w:p>
          <w:p w:rsidR="00F84BA7" w:rsidRPr="00D74389" w:rsidRDefault="00F84BA7" w:rsidP="00F84BA7">
            <w:pPr>
              <w:widowControl w:val="0"/>
              <w:spacing w:after="0" w:line="240" w:lineRule="auto"/>
              <w:rPr>
                <w:rFonts w:ascii="Georgia" w:eastAsia="Georgia" w:hAnsi="Georgia" w:cs="Georgia"/>
                <w:sz w:val="28"/>
                <w:szCs w:val="28"/>
              </w:rPr>
            </w:pPr>
          </w:p>
          <w:p w:rsidR="00834B4D" w:rsidRPr="00834B4D" w:rsidRDefault="00834B4D" w:rsidP="00834B4D">
            <w:pPr>
              <w:widowControl w:val="0"/>
              <w:spacing w:after="0" w:line="240" w:lineRule="auto"/>
              <w:rPr>
                <w:rFonts w:ascii="Georgia" w:eastAsia="Georgia" w:hAnsi="Georgia" w:cs="Georgia"/>
              </w:rPr>
            </w:pPr>
          </w:p>
          <w:p w:rsidR="006F6527" w:rsidRDefault="006F6527" w:rsidP="00F84BA7">
            <w:pPr>
              <w:widowControl w:val="0"/>
              <w:spacing w:after="0" w:line="240" w:lineRule="auto"/>
              <w:rPr>
                <w:rFonts w:ascii="Georgia" w:eastAsia="Georgia" w:hAnsi="Georgia" w:cs="Georgia"/>
              </w:rPr>
            </w:pPr>
          </w:p>
        </w:tc>
      </w:tr>
    </w:tbl>
    <w:p w:rsidR="006F6527" w:rsidRDefault="006F6527">
      <w:pPr>
        <w:shd w:val="clear" w:color="auto" w:fill="FFFFFF"/>
        <w:spacing w:before="220" w:after="220" w:line="360" w:lineRule="auto"/>
        <w:jc w:val="both"/>
        <w:rPr>
          <w:color w:val="000000"/>
          <w:sz w:val="20"/>
          <w:szCs w:val="20"/>
        </w:rPr>
      </w:pPr>
    </w:p>
    <w:p w:rsidR="006F6527" w:rsidRDefault="004730B9">
      <w:pPr>
        <w:shd w:val="clear" w:color="auto" w:fill="FFFFFF"/>
        <w:spacing w:before="220" w:after="220" w:line="360" w:lineRule="auto"/>
        <w:jc w:val="both"/>
        <w:rPr>
          <w:color w:val="000000"/>
          <w:sz w:val="20"/>
          <w:szCs w:val="20"/>
        </w:rPr>
      </w:pPr>
      <w:bookmarkStart w:id="14" w:name="_Hlk124513762"/>
      <w:r>
        <w:rPr>
          <w:color w:val="000000"/>
          <w:sz w:val="20"/>
          <w:szCs w:val="20"/>
        </w:rPr>
        <w:t>6) Aprendizajes</w:t>
      </w:r>
    </w:p>
    <w:p w:rsidR="006F6527" w:rsidRDefault="004730B9">
      <w:pPr>
        <w:shd w:val="clear" w:color="auto" w:fill="FFFFFF"/>
        <w:spacing w:before="220" w:after="220" w:line="360" w:lineRule="auto"/>
        <w:jc w:val="both"/>
        <w:rPr>
          <w:color w:val="000000"/>
          <w:sz w:val="18"/>
          <w:szCs w:val="18"/>
        </w:rPr>
      </w:pPr>
      <w:r>
        <w:rPr>
          <w:color w:val="000000"/>
          <w:sz w:val="20"/>
          <w:szCs w:val="20"/>
        </w:rPr>
        <w:t xml:space="preserve">Explica tres (3) aprendizajes obtenidos en el curso de esta iniciativa que podrían ser de utilidad para otras instituciones. </w:t>
      </w:r>
    </w:p>
    <w:tbl>
      <w:tblPr>
        <w:tblStyle w:val="affffd"/>
        <w:tblW w:w="92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7"/>
      </w:tblGrid>
      <w:tr w:rsidR="006F6527">
        <w:trPr>
          <w:trHeight w:val="1863"/>
        </w:trPr>
        <w:tc>
          <w:tcPr>
            <w:tcW w:w="9207" w:type="dxa"/>
            <w:shd w:val="clear" w:color="auto" w:fill="auto"/>
            <w:tcMar>
              <w:top w:w="100" w:type="dxa"/>
              <w:left w:w="100" w:type="dxa"/>
              <w:bottom w:w="100" w:type="dxa"/>
              <w:right w:w="100" w:type="dxa"/>
            </w:tcMar>
          </w:tcPr>
          <w:bookmarkEnd w:id="14"/>
          <w:p w:rsidR="00D74389" w:rsidRPr="00D74389" w:rsidRDefault="00D74389" w:rsidP="00D74389">
            <w:pPr>
              <w:numPr>
                <w:ilvl w:val="0"/>
                <w:numId w:val="15"/>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Resulta fundamental conformar mesas de trabajo con las entidades fiscalizadas, e incorporarlos en el proceso de diseño, desarrollo e implementación, a efectos de visualizar en conjunto los factores críticos de éxito.</w:t>
            </w:r>
          </w:p>
          <w:p w:rsidR="00D74389" w:rsidRPr="00D74389" w:rsidRDefault="00D74389" w:rsidP="00D74389">
            <w:pPr>
              <w:numPr>
                <w:ilvl w:val="0"/>
                <w:numId w:val="15"/>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 xml:space="preserve">Es de la escencia que las soluciones tecnológicas estén siempre integradas a las plataformas tecnológicas existentes, para no duplicar esfuerzos y conducir a modelos que sean interoperables y con uso intensivo de datos. </w:t>
            </w:r>
          </w:p>
          <w:p w:rsidR="00D74389" w:rsidRPr="00D74389" w:rsidRDefault="00D74389" w:rsidP="00D74389">
            <w:pPr>
              <w:numPr>
                <w:ilvl w:val="0"/>
                <w:numId w:val="15"/>
              </w:numPr>
              <w:contextualSpacing/>
              <w:jc w:val="both"/>
              <w:rPr>
                <w:rFonts w:ascii="Georgia" w:eastAsiaTheme="minorHAnsi" w:hAnsi="Georgia" w:cstheme="minorBidi"/>
                <w:color w:val="auto"/>
                <w:lang w:eastAsia="en-US"/>
              </w:rPr>
            </w:pPr>
            <w:r w:rsidRPr="00D74389">
              <w:rPr>
                <w:rFonts w:ascii="Georgia" w:eastAsiaTheme="minorHAnsi" w:hAnsi="Georgia" w:cstheme="minorBidi"/>
                <w:color w:val="auto"/>
                <w:lang w:eastAsia="en-US"/>
              </w:rPr>
              <w:t xml:space="preserve">No es sostenible continuar con modelos de remisión de planillas Excel o archivos de datos en el Estado, toda vez que se debe migrar a modelos que consideren de documentos electrónicos insertos en expedientes electrónicos, que incluyan soluciones de reportes integrados y que permitan la gestión de datos de manera automatizada. </w:t>
            </w:r>
          </w:p>
          <w:p w:rsidR="006F6527" w:rsidRDefault="006F6527">
            <w:pPr>
              <w:widowControl w:val="0"/>
              <w:spacing w:after="0" w:line="240" w:lineRule="auto"/>
              <w:rPr>
                <w:rFonts w:ascii="Georgia" w:eastAsia="Georgia" w:hAnsi="Georgia" w:cs="Georgia"/>
              </w:rPr>
            </w:pPr>
          </w:p>
        </w:tc>
      </w:tr>
    </w:tbl>
    <w:p w:rsidR="006F6527" w:rsidRDefault="006F6527" w:rsidP="001D64E5">
      <w:pPr>
        <w:pStyle w:val="Ttulo1"/>
      </w:pPr>
      <w:bookmarkStart w:id="15" w:name="_heading=h.c5ny5wrxesfd" w:colFirst="0" w:colLast="0"/>
      <w:bookmarkEnd w:id="15"/>
    </w:p>
    <w:sectPr w:rsidR="006F6527">
      <w:footerReference w:type="default" r:id="rId9"/>
      <w:pgSz w:w="12240" w:h="15840"/>
      <w:pgMar w:top="1417" w:right="1332"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A50" w:rsidRDefault="008D1A50">
      <w:pPr>
        <w:spacing w:after="0" w:line="240" w:lineRule="auto"/>
      </w:pPr>
      <w:r>
        <w:separator/>
      </w:r>
    </w:p>
  </w:endnote>
  <w:endnote w:type="continuationSeparator" w:id="0">
    <w:p w:rsidR="008D1A50" w:rsidRDefault="008D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osefin Sans">
    <w:charset w:val="00"/>
    <w:family w:val="auto"/>
    <w:pitch w:val="variable"/>
    <w:sig w:usb0="A00000FF" w:usb1="4000204B" w:usb2="00000000" w:usb3="00000000" w:csb0="000001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6527" w:rsidRDefault="006F65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A50" w:rsidRDefault="008D1A50">
      <w:pPr>
        <w:spacing w:after="0" w:line="240" w:lineRule="auto"/>
      </w:pPr>
      <w:r>
        <w:separator/>
      </w:r>
    </w:p>
  </w:footnote>
  <w:footnote w:type="continuationSeparator" w:id="0">
    <w:p w:rsidR="008D1A50" w:rsidRDefault="008D1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EAB"/>
    <w:multiLevelType w:val="hybridMultilevel"/>
    <w:tmpl w:val="670CB3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0B36E72"/>
    <w:multiLevelType w:val="hybridMultilevel"/>
    <w:tmpl w:val="C2CECF9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0E07550D"/>
    <w:multiLevelType w:val="hybridMultilevel"/>
    <w:tmpl w:val="58807F50"/>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4E1E0F"/>
    <w:multiLevelType w:val="hybridMultilevel"/>
    <w:tmpl w:val="B3D8FB4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04743CE"/>
    <w:multiLevelType w:val="hybridMultilevel"/>
    <w:tmpl w:val="DC5663AA"/>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5" w15:restartNumberingAfterBreak="0">
    <w:nsid w:val="498415C3"/>
    <w:multiLevelType w:val="hybridMultilevel"/>
    <w:tmpl w:val="2B78E4E0"/>
    <w:lvl w:ilvl="0" w:tplc="3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D95599"/>
    <w:multiLevelType w:val="hybridMultilevel"/>
    <w:tmpl w:val="4D229478"/>
    <w:lvl w:ilvl="0" w:tplc="340A000D">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57BD3F03"/>
    <w:multiLevelType w:val="hybridMultilevel"/>
    <w:tmpl w:val="26EEFB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FE40740"/>
    <w:multiLevelType w:val="multilevel"/>
    <w:tmpl w:val="9D72A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B05A7D"/>
    <w:multiLevelType w:val="multilevel"/>
    <w:tmpl w:val="73CCC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D74F60"/>
    <w:multiLevelType w:val="multilevel"/>
    <w:tmpl w:val="D20A4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593770"/>
    <w:multiLevelType w:val="hybridMultilevel"/>
    <w:tmpl w:val="FA48615A"/>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1163150"/>
    <w:multiLevelType w:val="multilevel"/>
    <w:tmpl w:val="EF02A65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68F2439"/>
    <w:multiLevelType w:val="hybridMultilevel"/>
    <w:tmpl w:val="0914C196"/>
    <w:lvl w:ilvl="0" w:tplc="3A1E1D2C">
      <w:start w:val="1"/>
      <w:numFmt w:val="decimal"/>
      <w:lvlText w:val="%1."/>
      <w:lvlJc w:val="left"/>
      <w:pPr>
        <w:ind w:left="1429" w:hanging="360"/>
      </w:pPr>
      <w:rPr>
        <w:rFonts w:ascii="Josefin Sans" w:hAnsi="Josefin Sans" w:hint="default"/>
        <w:b/>
        <w:color w:val="auto"/>
        <w:sz w:val="34"/>
        <w:szCs w:val="34"/>
      </w:r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4" w15:restartNumberingAfterBreak="0">
    <w:nsid w:val="7F3A2179"/>
    <w:multiLevelType w:val="hybridMultilevel"/>
    <w:tmpl w:val="0914C196"/>
    <w:lvl w:ilvl="0" w:tplc="3A1E1D2C">
      <w:start w:val="1"/>
      <w:numFmt w:val="decimal"/>
      <w:lvlText w:val="%1."/>
      <w:lvlJc w:val="left"/>
      <w:pPr>
        <w:ind w:left="1429" w:hanging="360"/>
      </w:pPr>
      <w:rPr>
        <w:rFonts w:ascii="Josefin Sans" w:hAnsi="Josefin Sans" w:hint="default"/>
        <w:b/>
        <w:color w:val="auto"/>
        <w:sz w:val="34"/>
        <w:szCs w:val="34"/>
      </w:r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num w:numId="1" w16cid:durableId="1904872681">
    <w:abstractNumId w:val="12"/>
  </w:num>
  <w:num w:numId="2" w16cid:durableId="1047293163">
    <w:abstractNumId w:val="8"/>
  </w:num>
  <w:num w:numId="3" w16cid:durableId="1882475733">
    <w:abstractNumId w:val="9"/>
  </w:num>
  <w:num w:numId="4" w16cid:durableId="627511679">
    <w:abstractNumId w:val="10"/>
  </w:num>
  <w:num w:numId="5" w16cid:durableId="1754934991">
    <w:abstractNumId w:val="13"/>
  </w:num>
  <w:num w:numId="6" w16cid:durableId="757867111">
    <w:abstractNumId w:val="4"/>
  </w:num>
  <w:num w:numId="7" w16cid:durableId="1758817961">
    <w:abstractNumId w:val="1"/>
  </w:num>
  <w:num w:numId="8" w16cid:durableId="1554466074">
    <w:abstractNumId w:val="6"/>
  </w:num>
  <w:num w:numId="9" w16cid:durableId="769206624">
    <w:abstractNumId w:val="14"/>
  </w:num>
  <w:num w:numId="10" w16cid:durableId="342708542">
    <w:abstractNumId w:val="0"/>
  </w:num>
  <w:num w:numId="11" w16cid:durableId="1804809918">
    <w:abstractNumId w:val="3"/>
  </w:num>
  <w:num w:numId="12" w16cid:durableId="1127503711">
    <w:abstractNumId w:val="2"/>
  </w:num>
  <w:num w:numId="13" w16cid:durableId="142938572">
    <w:abstractNumId w:val="7"/>
  </w:num>
  <w:num w:numId="14" w16cid:durableId="1608610617">
    <w:abstractNumId w:val="11"/>
  </w:num>
  <w:num w:numId="15" w16cid:durableId="1436562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27"/>
    <w:rsid w:val="000C4EEA"/>
    <w:rsid w:val="001D64E5"/>
    <w:rsid w:val="002F7A63"/>
    <w:rsid w:val="003B37F0"/>
    <w:rsid w:val="004443B4"/>
    <w:rsid w:val="004730B9"/>
    <w:rsid w:val="005A7AAE"/>
    <w:rsid w:val="00607970"/>
    <w:rsid w:val="00681374"/>
    <w:rsid w:val="006D048B"/>
    <w:rsid w:val="006D5B8D"/>
    <w:rsid w:val="006F6527"/>
    <w:rsid w:val="00772702"/>
    <w:rsid w:val="00786D79"/>
    <w:rsid w:val="008005D4"/>
    <w:rsid w:val="00834B4D"/>
    <w:rsid w:val="008D1A50"/>
    <w:rsid w:val="008E347E"/>
    <w:rsid w:val="00992752"/>
    <w:rsid w:val="00AC206B"/>
    <w:rsid w:val="00AC2A2D"/>
    <w:rsid w:val="00C02664"/>
    <w:rsid w:val="00D3044A"/>
    <w:rsid w:val="00D67B83"/>
    <w:rsid w:val="00D74389"/>
    <w:rsid w:val="00EC706C"/>
    <w:rsid w:val="00F83876"/>
    <w:rsid w:val="00F84BA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11B2"/>
  <w15:docId w15:val="{6E6B276C-8FFB-449B-B738-7FCDD8F1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Lato" w:hAnsi="Lato" w:cs="Lato"/>
        <w:color w:val="202124"/>
        <w:sz w:val="24"/>
        <w:szCs w:val="24"/>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B52945"/>
    <w:pPr>
      <w:spacing w:before="100" w:beforeAutospacing="1" w:after="100" w:afterAutospacing="1" w:line="240" w:lineRule="auto"/>
    </w:pPr>
    <w:rPr>
      <w:rFonts w:ascii="Times New Roman" w:eastAsia="Times New Roman" w:hAnsi="Times New Roman" w:cs="Times New Roman"/>
    </w:rPr>
  </w:style>
  <w:style w:type="paragraph" w:styleId="Prrafodelista">
    <w:name w:val="List Paragraph"/>
    <w:basedOn w:val="Normal"/>
    <w:uiPriority w:val="34"/>
    <w:qFormat/>
    <w:rsid w:val="00B6164A"/>
    <w:pPr>
      <w:ind w:left="720"/>
      <w:contextualSpacing/>
    </w:p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1"/>
    <w:uiPriority w:val="99"/>
    <w:semiHidden/>
    <w:unhideWhenUsed/>
    <w:pPr>
      <w:spacing w:line="240" w:lineRule="auto"/>
    </w:pPr>
    <w:rPr>
      <w:sz w:val="20"/>
      <w:szCs w:val="20"/>
    </w:rPr>
  </w:style>
  <w:style w:type="character" w:customStyle="1" w:styleId="TextocomentarioCar">
    <w:name w:val="Texto comentario Car"/>
    <w:basedOn w:val="Fuentedeprrafopredeter"/>
    <w:uiPriority w:val="99"/>
    <w:semiHidden/>
    <w:rsid w:val="0072790A"/>
    <w:rPr>
      <w:sz w:val="20"/>
      <w:szCs w:val="20"/>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
    <w:name w:val="Asunto del comentario Car"/>
    <w:basedOn w:val="TextocomentarioCar"/>
    <w:uiPriority w:val="99"/>
    <w:semiHidden/>
    <w:rsid w:val="0072790A"/>
    <w:rPr>
      <w:b/>
      <w:bCs/>
      <w:sz w:val="20"/>
      <w:szCs w:val="20"/>
    </w:rPr>
  </w:style>
  <w:style w:type="paragraph" w:styleId="Textodeglobo">
    <w:name w:val="Balloon Text"/>
    <w:basedOn w:val="Normal"/>
    <w:link w:val="TextodegloboCar"/>
    <w:uiPriority w:val="99"/>
    <w:semiHidden/>
    <w:unhideWhenUsed/>
    <w:rsid w:val="007279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790A"/>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semiHidden/>
    <w:rPr>
      <w:sz w:val="20"/>
      <w:szCs w:val="20"/>
    </w:r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3"/>
    <w:tblPr>
      <w:tblStyleRowBandSize w:val="1"/>
      <w:tblStyleColBandSize w:val="1"/>
      <w:tblCellMar>
        <w:top w:w="100" w:type="dxa"/>
        <w:left w:w="100" w:type="dxa"/>
        <w:bottom w:w="100" w:type="dxa"/>
        <w:right w:w="100" w:type="dxa"/>
      </w:tblCellMar>
    </w:tblPr>
  </w:style>
  <w:style w:type="table" w:customStyle="1" w:styleId="affc">
    <w:basedOn w:val="TableNormal3"/>
    <w:tblPr>
      <w:tblStyleRowBandSize w:val="1"/>
      <w:tblStyleColBandSize w:val="1"/>
      <w:tblCellMar>
        <w:top w:w="100" w:type="dxa"/>
        <w:left w:w="100" w:type="dxa"/>
        <w:bottom w:w="100" w:type="dxa"/>
        <w:right w:w="100"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style>
  <w:style w:type="table" w:customStyle="1" w:styleId="affe">
    <w:basedOn w:val="TableNormal3"/>
    <w:tblPr>
      <w:tblStyleRowBandSize w:val="1"/>
      <w:tblStyleColBandSize w:val="1"/>
      <w:tblCellMar>
        <w:top w:w="100" w:type="dxa"/>
        <w:left w:w="100" w:type="dxa"/>
        <w:bottom w:w="100" w:type="dxa"/>
        <w:right w:w="100" w:type="dxa"/>
      </w:tblCellMar>
    </w:tblPr>
  </w:style>
  <w:style w:type="table" w:customStyle="1" w:styleId="afff">
    <w:basedOn w:val="TableNormal3"/>
    <w:tblPr>
      <w:tblStyleRowBandSize w:val="1"/>
      <w:tblStyleColBandSize w:val="1"/>
      <w:tblCellMar>
        <w:top w:w="100" w:type="dxa"/>
        <w:left w:w="100" w:type="dxa"/>
        <w:bottom w:w="100" w:type="dxa"/>
        <w:right w:w="100" w:type="dxa"/>
      </w:tblCellMar>
    </w:tblPr>
  </w:style>
  <w:style w:type="table" w:customStyle="1" w:styleId="afff0">
    <w:basedOn w:val="TableNormal3"/>
    <w:tblPr>
      <w:tblStyleRowBandSize w:val="1"/>
      <w:tblStyleColBandSize w:val="1"/>
      <w:tblCellMar>
        <w:top w:w="100" w:type="dxa"/>
        <w:left w:w="100" w:type="dxa"/>
        <w:bottom w:w="100" w:type="dxa"/>
        <w:right w:w="100" w:type="dxa"/>
      </w:tblCellMar>
    </w:tblPr>
  </w:style>
  <w:style w:type="table" w:customStyle="1" w:styleId="afff1">
    <w:basedOn w:val="TableNormal3"/>
    <w:tblPr>
      <w:tblStyleRowBandSize w:val="1"/>
      <w:tblStyleColBandSize w:val="1"/>
      <w:tblCellMar>
        <w:top w:w="100" w:type="dxa"/>
        <w:left w:w="100" w:type="dxa"/>
        <w:bottom w:w="100" w:type="dxa"/>
        <w:right w:w="100" w:type="dxa"/>
      </w:tblCellMar>
    </w:tblPr>
  </w:style>
  <w:style w:type="table" w:customStyle="1" w:styleId="afff2">
    <w:basedOn w:val="TableNormal3"/>
    <w:tblPr>
      <w:tblStyleRowBandSize w:val="1"/>
      <w:tblStyleColBandSize w:val="1"/>
      <w:tblCellMar>
        <w:top w:w="100" w:type="dxa"/>
        <w:left w:w="100" w:type="dxa"/>
        <w:bottom w:w="100" w:type="dxa"/>
        <w:right w:w="100" w:type="dxa"/>
      </w:tblCellMar>
    </w:tblPr>
  </w:style>
  <w:style w:type="table" w:customStyle="1" w:styleId="afff3">
    <w:basedOn w:val="TableNormal3"/>
    <w:tblPr>
      <w:tblStyleRowBandSize w:val="1"/>
      <w:tblStyleColBandSize w:val="1"/>
      <w:tblCellMar>
        <w:top w:w="100" w:type="dxa"/>
        <w:left w:w="100" w:type="dxa"/>
        <w:bottom w:w="100" w:type="dxa"/>
        <w:right w:w="100" w:type="dxa"/>
      </w:tblCellMar>
    </w:tblPr>
  </w:style>
  <w:style w:type="table" w:customStyle="1" w:styleId="afff4">
    <w:basedOn w:val="TableNormal3"/>
    <w:tblPr>
      <w:tblStyleRowBandSize w:val="1"/>
      <w:tblStyleColBandSize w:val="1"/>
      <w:tblCellMar>
        <w:top w:w="100" w:type="dxa"/>
        <w:left w:w="100" w:type="dxa"/>
        <w:bottom w:w="100" w:type="dxa"/>
        <w:right w:w="100" w:type="dxa"/>
      </w:tblCellMar>
    </w:tblPr>
  </w:style>
  <w:style w:type="table" w:customStyle="1" w:styleId="afff5">
    <w:basedOn w:val="TableNormal3"/>
    <w:tblPr>
      <w:tblStyleRowBandSize w:val="1"/>
      <w:tblStyleColBandSize w:val="1"/>
      <w:tblCellMar>
        <w:top w:w="100" w:type="dxa"/>
        <w:left w:w="100" w:type="dxa"/>
        <w:bottom w:w="100" w:type="dxa"/>
        <w:right w:w="100" w:type="dxa"/>
      </w:tblCellMar>
    </w:tblPr>
  </w:style>
  <w:style w:type="table" w:customStyle="1" w:styleId="afff6">
    <w:basedOn w:val="TableNormal3"/>
    <w:tblPr>
      <w:tblStyleRowBandSize w:val="1"/>
      <w:tblStyleColBandSize w:val="1"/>
      <w:tblCellMar>
        <w:top w:w="100" w:type="dxa"/>
        <w:left w:w="100" w:type="dxa"/>
        <w:bottom w:w="100" w:type="dxa"/>
        <w:right w:w="100" w:type="dxa"/>
      </w:tblCellMar>
    </w:tblPr>
  </w:style>
  <w:style w:type="table" w:customStyle="1" w:styleId="afff7">
    <w:basedOn w:val="TableNormal3"/>
    <w:tblPr>
      <w:tblStyleRowBandSize w:val="1"/>
      <w:tblStyleColBandSize w:val="1"/>
      <w:tblCellMar>
        <w:top w:w="100" w:type="dxa"/>
        <w:left w:w="100" w:type="dxa"/>
        <w:bottom w:w="100" w:type="dxa"/>
        <w:right w:w="100" w:type="dxa"/>
      </w:tblCellMar>
    </w:tblPr>
  </w:style>
  <w:style w:type="table" w:customStyle="1" w:styleId="afff8">
    <w:basedOn w:val="TableNormal3"/>
    <w:tblPr>
      <w:tblStyleRowBandSize w:val="1"/>
      <w:tblStyleColBandSize w:val="1"/>
      <w:tblCellMar>
        <w:top w:w="100" w:type="dxa"/>
        <w:left w:w="100" w:type="dxa"/>
        <w:bottom w:w="100" w:type="dxa"/>
        <w:right w:w="100" w:type="dxa"/>
      </w:tblCellMar>
    </w:tblPr>
  </w:style>
  <w:style w:type="table" w:customStyle="1" w:styleId="afff9">
    <w:basedOn w:val="TableNormal3"/>
    <w:tblPr>
      <w:tblStyleRowBandSize w:val="1"/>
      <w:tblStyleColBandSize w:val="1"/>
      <w:tblCellMar>
        <w:top w:w="100" w:type="dxa"/>
        <w:left w:w="100" w:type="dxa"/>
        <w:bottom w:w="100" w:type="dxa"/>
        <w:right w:w="100" w:type="dxa"/>
      </w:tblCellMar>
    </w:tblPr>
  </w:style>
  <w:style w:type="table" w:customStyle="1" w:styleId="afffa">
    <w:basedOn w:val="TableNormal3"/>
    <w:tblPr>
      <w:tblStyleRowBandSize w:val="1"/>
      <w:tblStyleColBandSize w:val="1"/>
      <w:tblCellMar>
        <w:top w:w="100" w:type="dxa"/>
        <w:left w:w="100" w:type="dxa"/>
        <w:bottom w:w="100" w:type="dxa"/>
        <w:right w:w="100" w:type="dxa"/>
      </w:tblCellMar>
    </w:tblPr>
  </w:style>
  <w:style w:type="table" w:customStyle="1" w:styleId="afffb">
    <w:basedOn w:val="TableNormal3"/>
    <w:tblPr>
      <w:tblStyleRowBandSize w:val="1"/>
      <w:tblStyleColBandSize w:val="1"/>
      <w:tblCellMar>
        <w:top w:w="100" w:type="dxa"/>
        <w:left w:w="100" w:type="dxa"/>
        <w:bottom w:w="100" w:type="dxa"/>
        <w:right w:w="100" w:type="dxa"/>
      </w:tblCellMar>
    </w:tblPr>
  </w:style>
  <w:style w:type="table" w:customStyle="1" w:styleId="afffc">
    <w:basedOn w:val="TableNormal3"/>
    <w:tblPr>
      <w:tblStyleRowBandSize w:val="1"/>
      <w:tblStyleColBandSize w:val="1"/>
      <w:tblCellMar>
        <w:top w:w="100" w:type="dxa"/>
        <w:left w:w="100" w:type="dxa"/>
        <w:bottom w:w="100" w:type="dxa"/>
        <w:right w:w="100" w:type="dxa"/>
      </w:tblCellMar>
    </w:tblPr>
  </w:style>
  <w:style w:type="table" w:customStyle="1" w:styleId="afffd">
    <w:basedOn w:val="TableNormal3"/>
    <w:tblPr>
      <w:tblStyleRowBandSize w:val="1"/>
      <w:tblStyleColBandSize w:val="1"/>
      <w:tblCellMar>
        <w:top w:w="100" w:type="dxa"/>
        <w:left w:w="100" w:type="dxa"/>
        <w:bottom w:w="100" w:type="dxa"/>
        <w:right w:w="100" w:type="dxa"/>
      </w:tblCellMar>
    </w:tblPr>
  </w:style>
  <w:style w:type="table" w:customStyle="1" w:styleId="afffe">
    <w:basedOn w:val="TableNormal3"/>
    <w:tblPr>
      <w:tblStyleRowBandSize w:val="1"/>
      <w:tblStyleColBandSize w:val="1"/>
      <w:tblCellMar>
        <w:top w:w="100" w:type="dxa"/>
        <w:left w:w="100" w:type="dxa"/>
        <w:bottom w:w="100" w:type="dxa"/>
        <w:right w:w="100" w:type="dxa"/>
      </w:tblCellMar>
    </w:tblPr>
  </w:style>
  <w:style w:type="table" w:customStyle="1" w:styleId="affff">
    <w:basedOn w:val="TableNormal3"/>
    <w:tblPr>
      <w:tblStyleRowBandSize w:val="1"/>
      <w:tblStyleColBandSize w:val="1"/>
      <w:tblCellMar>
        <w:top w:w="100" w:type="dxa"/>
        <w:left w:w="100" w:type="dxa"/>
        <w:bottom w:w="100" w:type="dxa"/>
        <w:right w:w="100" w:type="dxa"/>
      </w:tblCellMar>
    </w:tblPr>
  </w:style>
  <w:style w:type="table" w:customStyle="1" w:styleId="affff0">
    <w:basedOn w:val="TableNormal3"/>
    <w:tblPr>
      <w:tblStyleRowBandSize w:val="1"/>
      <w:tblStyleColBandSize w:val="1"/>
      <w:tblCellMar>
        <w:top w:w="100" w:type="dxa"/>
        <w:left w:w="100" w:type="dxa"/>
        <w:bottom w:w="100" w:type="dxa"/>
        <w:right w:w="100" w:type="dxa"/>
      </w:tblCellMar>
    </w:tblPr>
  </w:style>
  <w:style w:type="table" w:customStyle="1" w:styleId="affff1">
    <w:basedOn w:val="TableNormal3"/>
    <w:tblPr>
      <w:tblStyleRowBandSize w:val="1"/>
      <w:tblStyleColBandSize w:val="1"/>
      <w:tblCellMar>
        <w:top w:w="100" w:type="dxa"/>
        <w:left w:w="100" w:type="dxa"/>
        <w:bottom w:w="100" w:type="dxa"/>
        <w:right w:w="100" w:type="dxa"/>
      </w:tblCellMar>
    </w:tblPr>
  </w:style>
  <w:style w:type="table" w:customStyle="1" w:styleId="affff2">
    <w:basedOn w:val="TableNormal3"/>
    <w:tblPr>
      <w:tblStyleRowBandSize w:val="1"/>
      <w:tblStyleColBandSize w:val="1"/>
      <w:tblCellMar>
        <w:top w:w="100" w:type="dxa"/>
        <w:left w:w="100" w:type="dxa"/>
        <w:bottom w:w="100" w:type="dxa"/>
        <w:right w:w="100" w:type="dxa"/>
      </w:tblCellMar>
    </w:tblPr>
  </w:style>
  <w:style w:type="table" w:customStyle="1" w:styleId="affff3">
    <w:basedOn w:val="TableNormal3"/>
    <w:tblPr>
      <w:tblStyleRowBandSize w:val="1"/>
      <w:tblStyleColBandSize w:val="1"/>
      <w:tblCellMar>
        <w:top w:w="100" w:type="dxa"/>
        <w:left w:w="100" w:type="dxa"/>
        <w:bottom w:w="100" w:type="dxa"/>
        <w:right w:w="100" w:type="dxa"/>
      </w:tblCellMar>
    </w:tblPr>
  </w:style>
  <w:style w:type="table" w:customStyle="1" w:styleId="affff4">
    <w:basedOn w:val="TableNormal3"/>
    <w:tblPr>
      <w:tblStyleRowBandSize w:val="1"/>
      <w:tblStyleColBandSize w:val="1"/>
      <w:tblCellMar>
        <w:top w:w="100" w:type="dxa"/>
        <w:left w:w="100" w:type="dxa"/>
        <w:bottom w:w="100" w:type="dxa"/>
        <w:right w:w="100" w:type="dxa"/>
      </w:tblCellMar>
    </w:tblPr>
  </w:style>
  <w:style w:type="table" w:customStyle="1" w:styleId="affff5">
    <w:basedOn w:val="TableNormal3"/>
    <w:tblPr>
      <w:tblStyleRowBandSize w:val="1"/>
      <w:tblStyleColBandSize w:val="1"/>
      <w:tblCellMar>
        <w:top w:w="100" w:type="dxa"/>
        <w:left w:w="100" w:type="dxa"/>
        <w:bottom w:w="100" w:type="dxa"/>
        <w:right w:w="100" w:type="dxa"/>
      </w:tblCellMar>
    </w:tblPr>
  </w:style>
  <w:style w:type="table" w:customStyle="1" w:styleId="affff6">
    <w:basedOn w:val="TableNormal3"/>
    <w:tblPr>
      <w:tblStyleRowBandSize w:val="1"/>
      <w:tblStyleColBandSize w:val="1"/>
      <w:tblCellMar>
        <w:top w:w="100" w:type="dxa"/>
        <w:left w:w="100" w:type="dxa"/>
        <w:bottom w:w="100" w:type="dxa"/>
        <w:right w:w="100" w:type="dxa"/>
      </w:tblCellMar>
    </w:tblPr>
  </w:style>
  <w:style w:type="table" w:customStyle="1" w:styleId="affff7">
    <w:basedOn w:val="TableNormal3"/>
    <w:tblPr>
      <w:tblStyleRowBandSize w:val="1"/>
      <w:tblStyleColBandSize w:val="1"/>
      <w:tblCellMar>
        <w:top w:w="100" w:type="dxa"/>
        <w:left w:w="100" w:type="dxa"/>
        <w:bottom w:w="100" w:type="dxa"/>
        <w:right w:w="100" w:type="dxa"/>
      </w:tblCellMar>
    </w:tblPr>
  </w:style>
  <w:style w:type="table" w:customStyle="1" w:styleId="affff8">
    <w:basedOn w:val="TableNormal3"/>
    <w:tblPr>
      <w:tblStyleRowBandSize w:val="1"/>
      <w:tblStyleColBandSize w:val="1"/>
      <w:tblCellMar>
        <w:top w:w="100" w:type="dxa"/>
        <w:left w:w="100" w:type="dxa"/>
        <w:bottom w:w="100" w:type="dxa"/>
        <w:right w:w="100" w:type="dxa"/>
      </w:tblCellMar>
    </w:tblPr>
  </w:style>
  <w:style w:type="table" w:customStyle="1" w:styleId="affff9">
    <w:basedOn w:val="TableNormal3"/>
    <w:tblPr>
      <w:tblStyleRowBandSize w:val="1"/>
      <w:tblStyleColBandSize w:val="1"/>
      <w:tblCellMar>
        <w:top w:w="100" w:type="dxa"/>
        <w:left w:w="100" w:type="dxa"/>
        <w:bottom w:w="100" w:type="dxa"/>
        <w:right w:w="100" w:type="dxa"/>
      </w:tblCellMar>
    </w:tblPr>
  </w:style>
  <w:style w:type="table" w:customStyle="1" w:styleId="affffa">
    <w:basedOn w:val="TableNormal3"/>
    <w:tblPr>
      <w:tblStyleRowBandSize w:val="1"/>
      <w:tblStyleColBandSize w:val="1"/>
      <w:tblCellMar>
        <w:top w:w="100" w:type="dxa"/>
        <w:left w:w="100" w:type="dxa"/>
        <w:bottom w:w="100" w:type="dxa"/>
        <w:right w:w="100" w:type="dxa"/>
      </w:tblCellMar>
    </w:tblPr>
  </w:style>
  <w:style w:type="table" w:customStyle="1" w:styleId="affffb">
    <w:basedOn w:val="TableNormal3"/>
    <w:tblPr>
      <w:tblStyleRowBandSize w:val="1"/>
      <w:tblStyleColBandSize w:val="1"/>
      <w:tblCellMar>
        <w:top w:w="100" w:type="dxa"/>
        <w:left w:w="100" w:type="dxa"/>
        <w:bottom w:w="100" w:type="dxa"/>
        <w:right w:w="100" w:type="dxa"/>
      </w:tblCellMar>
    </w:tblPr>
  </w:style>
  <w:style w:type="table" w:customStyle="1" w:styleId="affffc">
    <w:basedOn w:val="TableNormal3"/>
    <w:tblPr>
      <w:tblStyleRowBandSize w:val="1"/>
      <w:tblStyleColBandSize w:val="1"/>
      <w:tblCellMar>
        <w:top w:w="100" w:type="dxa"/>
        <w:left w:w="100" w:type="dxa"/>
        <w:bottom w:w="100" w:type="dxa"/>
        <w:right w:w="100" w:type="dxa"/>
      </w:tblCellMar>
    </w:tblPr>
  </w:style>
  <w:style w:type="table" w:customStyle="1" w:styleId="affffd">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onU76r6lfRVdPSxoCdD6CkWGMQ==">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87D6A7-DFFE-43EC-9FAD-398C796B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1915</Words>
  <Characters>10533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Minsegpres</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Carrasco Jerez</dc:creator>
  <cp:lastModifiedBy>Rodrigo</cp:lastModifiedBy>
  <cp:revision>8</cp:revision>
  <dcterms:created xsi:type="dcterms:W3CDTF">2023-01-13T10:39:00Z</dcterms:created>
  <dcterms:modified xsi:type="dcterms:W3CDTF">2023-01-13T19:39:00Z</dcterms:modified>
</cp:coreProperties>
</file>